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26" w:rsidRPr="004046C0" w:rsidRDefault="00555C26" w:rsidP="00555C26">
      <w:pPr>
        <w:pStyle w:val="NormalWeb"/>
        <w:shd w:val="clear" w:color="auto" w:fill="FFFFFF"/>
        <w:spacing w:before="0" w:beforeAutospacing="0" w:after="0" w:afterAutospacing="0" w:line="360" w:lineRule="auto"/>
        <w:jc w:val="center"/>
        <w:rPr>
          <w:b/>
          <w:spacing w:val="2"/>
          <w:sz w:val="36"/>
          <w:szCs w:val="36"/>
        </w:rPr>
      </w:pPr>
      <w:r w:rsidRPr="004046C0">
        <w:rPr>
          <w:b/>
          <w:spacing w:val="2"/>
          <w:sz w:val="36"/>
          <w:szCs w:val="36"/>
        </w:rPr>
        <w:t>PARECER JURÍDICO</w:t>
      </w:r>
    </w:p>
    <w:p w:rsidR="00555C26" w:rsidRDefault="00555C26" w:rsidP="00555C26">
      <w:pPr>
        <w:pStyle w:val="NormalWeb"/>
        <w:shd w:val="clear" w:color="auto" w:fill="FFFFFF"/>
        <w:spacing w:before="0" w:beforeAutospacing="0" w:after="0" w:afterAutospacing="0" w:line="360" w:lineRule="auto"/>
        <w:ind w:firstLine="1701"/>
        <w:jc w:val="both"/>
        <w:rPr>
          <w:spacing w:val="2"/>
          <w:sz w:val="22"/>
          <w:szCs w:val="22"/>
        </w:rPr>
      </w:pPr>
    </w:p>
    <w:p w:rsidR="00EC0F08" w:rsidRPr="00EC0F08" w:rsidRDefault="00EC0F08" w:rsidP="00555C26">
      <w:pPr>
        <w:pStyle w:val="NormalWeb"/>
        <w:shd w:val="clear" w:color="auto" w:fill="FFFFFF"/>
        <w:spacing w:before="0" w:beforeAutospacing="0" w:after="0" w:afterAutospacing="0" w:line="360" w:lineRule="auto"/>
        <w:ind w:firstLine="1701"/>
        <w:jc w:val="both"/>
        <w:rPr>
          <w:spacing w:val="2"/>
          <w:sz w:val="22"/>
          <w:szCs w:val="22"/>
        </w:rPr>
      </w:pPr>
    </w:p>
    <w:p w:rsidR="00555C26" w:rsidRPr="006569F2" w:rsidRDefault="006518EA" w:rsidP="00555C26">
      <w:pPr>
        <w:pStyle w:val="NormalWeb"/>
        <w:shd w:val="clear" w:color="auto" w:fill="FFFFFF"/>
        <w:spacing w:before="0" w:beforeAutospacing="0" w:after="0" w:afterAutospacing="0" w:line="360" w:lineRule="auto"/>
        <w:ind w:left="3969"/>
        <w:jc w:val="both"/>
        <w:rPr>
          <w:i/>
          <w:iCs/>
          <w:spacing w:val="2"/>
          <w:sz w:val="16"/>
          <w:szCs w:val="16"/>
        </w:rPr>
      </w:pPr>
      <w:r w:rsidRPr="006569F2">
        <w:rPr>
          <w:b/>
          <w:spacing w:val="2"/>
          <w:sz w:val="16"/>
          <w:szCs w:val="16"/>
        </w:rPr>
        <w:t>EMENTA:</w:t>
      </w:r>
      <w:r w:rsidRPr="006569F2">
        <w:rPr>
          <w:spacing w:val="2"/>
          <w:sz w:val="16"/>
          <w:szCs w:val="16"/>
        </w:rPr>
        <w:t xml:space="preserve"> DISPENSA DE LICITAÇÃO -  </w:t>
      </w:r>
      <w:bookmarkStart w:id="0" w:name="_GoBack"/>
      <w:bookmarkEnd w:id="0"/>
      <w:r w:rsidRPr="006569F2">
        <w:rPr>
          <w:sz w:val="16"/>
          <w:szCs w:val="16"/>
        </w:rPr>
        <w:t xml:space="preserve"> </w:t>
      </w:r>
      <w:r>
        <w:rPr>
          <w:sz w:val="16"/>
          <w:szCs w:val="16"/>
        </w:rPr>
        <w:t xml:space="preserve">PARA </w:t>
      </w:r>
      <w:r w:rsidRPr="006518EA">
        <w:rPr>
          <w:sz w:val="16"/>
          <w:szCs w:val="16"/>
        </w:rPr>
        <w:t>FORNECIMENTO DE PNEUS E CÂMARA DE AR DESTINADOS À MANUTENÇÃO DE MAQUINAS PESADAS DA PREFEITURA MUNICIPAL DE NOVO JARDIM – TO</w:t>
      </w:r>
      <w:r w:rsidRPr="006569F2">
        <w:rPr>
          <w:i/>
          <w:iCs/>
          <w:spacing w:val="2"/>
          <w:sz w:val="16"/>
          <w:szCs w:val="16"/>
        </w:rPr>
        <w:t>.</w:t>
      </w:r>
    </w:p>
    <w:p w:rsidR="00555C26" w:rsidRPr="002F2375" w:rsidRDefault="00555C26" w:rsidP="00555C26">
      <w:pPr>
        <w:pStyle w:val="NormalWeb"/>
        <w:shd w:val="clear" w:color="auto" w:fill="FFFFFF"/>
        <w:spacing w:before="0" w:beforeAutospacing="0" w:after="0" w:afterAutospacing="0" w:line="360" w:lineRule="auto"/>
        <w:ind w:left="1701" w:firstLine="1701"/>
        <w:jc w:val="both"/>
        <w:rPr>
          <w:rStyle w:val="Forte"/>
          <w:spacing w:val="2"/>
          <w:sz w:val="22"/>
          <w:szCs w:val="22"/>
        </w:rPr>
      </w:pPr>
    </w:p>
    <w:p w:rsidR="00555C26" w:rsidRPr="002F2375" w:rsidRDefault="00555C26" w:rsidP="00555C26">
      <w:pPr>
        <w:pStyle w:val="NormalWeb"/>
        <w:shd w:val="clear" w:color="auto" w:fill="FFFFFF"/>
        <w:spacing w:before="0" w:beforeAutospacing="0" w:after="0" w:afterAutospacing="0" w:line="360" w:lineRule="auto"/>
        <w:jc w:val="both"/>
        <w:rPr>
          <w:spacing w:val="2"/>
          <w:sz w:val="22"/>
          <w:szCs w:val="22"/>
        </w:rPr>
      </w:pPr>
      <w:r w:rsidRPr="002F2375">
        <w:rPr>
          <w:rStyle w:val="Forte"/>
          <w:spacing w:val="2"/>
          <w:sz w:val="22"/>
          <w:szCs w:val="22"/>
        </w:rPr>
        <w:t>RELATÓRIO</w:t>
      </w:r>
    </w:p>
    <w:p w:rsidR="00555C26" w:rsidRPr="002F2375" w:rsidRDefault="00555C26" w:rsidP="00555C26">
      <w:pPr>
        <w:spacing w:line="360" w:lineRule="auto"/>
        <w:ind w:firstLine="1701"/>
        <w:jc w:val="both"/>
        <w:rPr>
          <w:sz w:val="22"/>
          <w:szCs w:val="22"/>
        </w:rPr>
      </w:pPr>
      <w:r w:rsidRPr="002F2375">
        <w:rPr>
          <w:sz w:val="22"/>
          <w:szCs w:val="22"/>
        </w:rPr>
        <w:t xml:space="preserve">Inicialmente cumpre destacar que a presente análise refere-se ao procedimento trazido a exame, não cabendo a essa Assessoria mensurar aspectos técnicos e econômicos da proposta, assim como os relativos ao mérito e conveniência administrativa. </w:t>
      </w:r>
    </w:p>
    <w:p w:rsidR="00555C26" w:rsidRPr="00BE156E" w:rsidRDefault="00555C26" w:rsidP="00555C26">
      <w:pPr>
        <w:spacing w:line="360" w:lineRule="auto"/>
        <w:ind w:firstLine="1701"/>
        <w:jc w:val="both"/>
        <w:rPr>
          <w:sz w:val="22"/>
          <w:szCs w:val="22"/>
        </w:rPr>
      </w:pPr>
      <w:r w:rsidRPr="002F2375">
        <w:rPr>
          <w:sz w:val="22"/>
          <w:szCs w:val="22"/>
        </w:rPr>
        <w:t>O procedimento administrativo, foi iniciado por meio da solicitação</w:t>
      </w:r>
      <w:r>
        <w:rPr>
          <w:sz w:val="22"/>
          <w:szCs w:val="22"/>
        </w:rPr>
        <w:t xml:space="preserve"> para contratação de </w:t>
      </w:r>
      <w:r w:rsidRPr="00BE156E">
        <w:rPr>
          <w:color w:val="000000"/>
          <w:sz w:val="22"/>
          <w:szCs w:val="22"/>
        </w:rPr>
        <w:t xml:space="preserve">prestador de serviços </w:t>
      </w:r>
      <w:r w:rsidR="006518EA" w:rsidRPr="006518EA">
        <w:rPr>
          <w:color w:val="000000"/>
          <w:sz w:val="22"/>
          <w:szCs w:val="22"/>
        </w:rPr>
        <w:t>Fornecimento de pneus e câmara de ar destinados à manutenção de maquinas pesadas desta Prefeitura Municipal de Novo Jardim – TO</w:t>
      </w:r>
      <w:r w:rsidR="00EC0F08" w:rsidRPr="00EC0F08">
        <w:rPr>
          <w:color w:val="000000"/>
          <w:sz w:val="22"/>
          <w:szCs w:val="22"/>
        </w:rPr>
        <w:t>.</w:t>
      </w:r>
    </w:p>
    <w:p w:rsidR="00555C26" w:rsidRPr="001E5AFD" w:rsidRDefault="00555C26" w:rsidP="00555C26">
      <w:pPr>
        <w:pStyle w:val="NormalWeb"/>
        <w:shd w:val="clear" w:color="auto" w:fill="FFFFFF"/>
        <w:spacing w:before="0" w:beforeAutospacing="0" w:after="0" w:afterAutospacing="0" w:line="360" w:lineRule="auto"/>
        <w:ind w:firstLine="1701"/>
        <w:jc w:val="both"/>
        <w:rPr>
          <w:sz w:val="22"/>
          <w:szCs w:val="22"/>
        </w:rPr>
      </w:pPr>
      <w:r w:rsidRPr="001E5AFD">
        <w:rPr>
          <w:sz w:val="22"/>
          <w:szCs w:val="22"/>
        </w:rPr>
        <w:t xml:space="preserve">Oportuno destacar que a presente manifestação jurídica tem o escopo de apontar possíveis riscos do ponto de vista jurídico e recomendar alguma providência para salvaguardar a Administração e o erário público. </w:t>
      </w:r>
    </w:p>
    <w:p w:rsidR="00555C26" w:rsidRPr="002F2375" w:rsidRDefault="00555C26" w:rsidP="00555C26">
      <w:pPr>
        <w:spacing w:line="360" w:lineRule="auto"/>
        <w:ind w:firstLine="1701"/>
        <w:jc w:val="both"/>
        <w:rPr>
          <w:sz w:val="22"/>
          <w:szCs w:val="22"/>
        </w:rPr>
      </w:pPr>
    </w:p>
    <w:p w:rsidR="00555C26" w:rsidRPr="002F2375" w:rsidRDefault="00555C26" w:rsidP="00555C26">
      <w:pPr>
        <w:spacing w:line="360" w:lineRule="auto"/>
        <w:jc w:val="both"/>
        <w:rPr>
          <w:b/>
          <w:sz w:val="22"/>
          <w:szCs w:val="22"/>
        </w:rPr>
      </w:pPr>
      <w:r w:rsidRPr="002F2375">
        <w:rPr>
          <w:b/>
          <w:sz w:val="22"/>
          <w:szCs w:val="22"/>
        </w:rPr>
        <w:t>DO DIREITO</w:t>
      </w:r>
    </w:p>
    <w:p w:rsidR="00555C26"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 xml:space="preserve">A licitação pública é obrigatória em tributo aos princípios regentes da Administração Pública, que visam proteger o interesse público de atos imorais, marcados pela pessoalidade e, com destaque, que imputem aos membros da coletividade tratamento discriminatório. </w:t>
      </w:r>
    </w:p>
    <w:p w:rsidR="00555C26"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 xml:space="preserve">A causa maior da licitação pública é o princípio da isonomia, uma vez que o contrato implica benefício econômico ao contratado e, por isso, todos aqueles que tiverem interesse em auferir o aludido benefício devem ser tratados de modo igualitário por parte da Administração Pública, pelo que se impõe a ela realizar procedimento administrativo, denominado licitação pública. Como o </w:t>
      </w:r>
      <w:r w:rsidRPr="002F2375">
        <w:rPr>
          <w:rFonts w:eastAsiaTheme="minorHAnsi"/>
          <w:i/>
          <w:iCs/>
          <w:sz w:val="22"/>
          <w:szCs w:val="22"/>
          <w:lang w:eastAsia="en-US"/>
        </w:rPr>
        <w:t xml:space="preserve">caput </w:t>
      </w:r>
      <w:r w:rsidRPr="002F2375">
        <w:rPr>
          <w:rFonts w:eastAsiaTheme="minorHAnsi"/>
          <w:sz w:val="22"/>
          <w:szCs w:val="22"/>
          <w:lang w:eastAsia="en-US"/>
        </w:rPr>
        <w:t>do artigo 5º da Constituição Federal abriga o princípio da isonomia, ele já fornece subsídio normativo suficiente para que se conclua pela obrigatoriedade de licitação pública.</w:t>
      </w:r>
    </w:p>
    <w:p w:rsidR="00555C26"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Além disso, o constituinte houve por bem, para não permitir espaço a interpretações distorcidas, realçar que a licitação pública é efetivamente obrigatória, inserindo, no capítulo referente à Administração Pública, o inciso XXI do artigo 37.</w:t>
      </w:r>
    </w:p>
    <w:p w:rsidR="00555C26"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lastRenderedPageBreak/>
        <w:t xml:space="preserve">É como se o constituinte reforçasse a dicção geral do princípio da isonomia contida no </w:t>
      </w:r>
      <w:r w:rsidRPr="002F2375">
        <w:rPr>
          <w:rFonts w:eastAsiaTheme="minorHAnsi"/>
          <w:i/>
          <w:iCs/>
          <w:sz w:val="22"/>
          <w:szCs w:val="22"/>
          <w:lang w:eastAsia="en-US"/>
        </w:rPr>
        <w:t xml:space="preserve">caput </w:t>
      </w:r>
      <w:r w:rsidRPr="002F2375">
        <w:rPr>
          <w:rFonts w:eastAsiaTheme="minorHAnsi"/>
          <w:sz w:val="22"/>
          <w:szCs w:val="22"/>
          <w:lang w:eastAsia="en-US"/>
        </w:rPr>
        <w:t>do artigo 5º da Constituição Federal, dando-lhe concreção especial.</w:t>
      </w:r>
    </w:p>
    <w:p w:rsidR="00555C26"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 xml:space="preserve">O inciso XXI do artigo 37 da Constituição Federal não deixa a mais estreita margem à dúvida no que tange à obrigatoriedade de licitação pública que assegure igualdade de condições, pelo que se alinha ao </w:t>
      </w:r>
      <w:r w:rsidRPr="002F2375">
        <w:rPr>
          <w:rFonts w:eastAsiaTheme="minorHAnsi"/>
          <w:i/>
          <w:iCs/>
          <w:sz w:val="22"/>
          <w:szCs w:val="22"/>
          <w:lang w:eastAsia="en-US"/>
        </w:rPr>
        <w:t xml:space="preserve">caput </w:t>
      </w:r>
      <w:r w:rsidRPr="002F2375">
        <w:rPr>
          <w:rFonts w:eastAsiaTheme="minorHAnsi"/>
          <w:sz w:val="22"/>
          <w:szCs w:val="22"/>
          <w:lang w:eastAsia="en-US"/>
        </w:rPr>
        <w:t>do artigo 5º, também da Constituição Federal. Em paralelo a isso, o dispositivo em comento prevê hipóteses em que não se deve proceder à licitação pública, dado que já no início do texto os casos especificados na legislação são excluídos da aludida obrigatoriedade.</w:t>
      </w:r>
    </w:p>
    <w:p w:rsidR="00555C26"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Observe-se que o constituinte adotou técnica estranha ao iniciar o dispositivo com a ressalva, para, em seguida, estabelecer a regra. Isto é, o texto começa dando conta que “ressalvados os casos especificados na legislação”, para, depois, consignar a regra, segundo a qual “as obras, serviços compras e alienações serão contratadas mediante processo de licitação pública que assegure igualdade de condições a todos os concorrentes”.</w:t>
      </w:r>
    </w:p>
    <w:p w:rsidR="00555C26"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O fato é que, de modo muito claro, a regra é a obrigatoriedade de licitação pública, e a exceção se refere aos casos especificados pela legislação, que, como visto, redundam em inexigibilidade e dispensa. Bem se vê que o constituinte atribuiu competência ao legislador para integrar o dispositivo, declinando os casos em que a licitação pública não se impõe. Entretanto, o constituinte não permitiu que o legislador criasse hipóteses de dispensa não plausíveis, pois, se assim tivesse procedido, este último poderia subverter a própria regra constitucional relativa à obrigatoriedade de licitação.</w:t>
      </w:r>
    </w:p>
    <w:p w:rsidR="00555C26"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Para a sistemática constitucional, repita-se, a obrigatoriedade de licitação pública é a regra, e a contratação direta, a exceção. E essa relação apresenta-se ao legislador como espécie de norma programática, uma diretriz que ele deve</w:t>
      </w:r>
      <w:r>
        <w:rPr>
          <w:rFonts w:eastAsiaTheme="minorHAnsi"/>
          <w:sz w:val="22"/>
          <w:szCs w:val="22"/>
          <w:lang w:eastAsia="en-US"/>
        </w:rPr>
        <w:t xml:space="preserve"> </w:t>
      </w:r>
      <w:r w:rsidRPr="002F2375">
        <w:rPr>
          <w:rFonts w:eastAsiaTheme="minorHAnsi"/>
          <w:sz w:val="22"/>
          <w:szCs w:val="22"/>
          <w:lang w:eastAsia="en-US"/>
        </w:rPr>
        <w:t xml:space="preserve">seguir sob pena de inconstitucionalidade. </w:t>
      </w:r>
    </w:p>
    <w:p w:rsidR="00555C26"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Aliás, contratação sem licitação pública costuma ser chamada de contratação direta, porque a Administração Pública contrata diretamente, sem antes realizar a licitação pública. Em geral, a contratação direta dá-se por duas maneiras, por meio de inexigibilidade, quando a competição é inviável, e de dispensa, quando a competição é viável, porém a realização da licitação importaria prejuízos ao interesse público.</w:t>
      </w:r>
    </w:p>
    <w:p w:rsidR="00555C26"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 xml:space="preserve">Pois bem, afora as hipóteses de inexigibilidade, percebe-se existirem situações em que, conquanto fosse viável a competição, não haveria utilidade em empreender licitação pública, já que o interesse público seria comprometido, afigurando os casos em que ela é dispensada ou dispensável. Em síntese: a inexigibilidade relaciona-se à impossibilidade de proceder </w:t>
      </w:r>
      <w:r w:rsidRPr="002F2375">
        <w:rPr>
          <w:rFonts w:eastAsiaTheme="minorHAnsi"/>
          <w:sz w:val="22"/>
          <w:szCs w:val="22"/>
          <w:lang w:eastAsia="en-US"/>
        </w:rPr>
        <w:lastRenderedPageBreak/>
        <w:t>à licitação pública por ser inviável a competição; a dispensa, ao seu turno, à inutilidade da licitação pública para a consecução do interesse público subjacente à atuação da Administração Pública.</w:t>
      </w:r>
    </w:p>
    <w:p w:rsidR="00555C26" w:rsidRDefault="00555C26" w:rsidP="00555C26">
      <w:pPr>
        <w:autoSpaceDE w:val="0"/>
        <w:autoSpaceDN w:val="0"/>
        <w:adjustRightInd w:val="0"/>
        <w:spacing w:line="360" w:lineRule="auto"/>
        <w:ind w:firstLine="1701"/>
        <w:jc w:val="both"/>
        <w:rPr>
          <w:rFonts w:eastAsiaTheme="minorHAnsi"/>
          <w:color w:val="000000"/>
          <w:sz w:val="22"/>
          <w:szCs w:val="22"/>
          <w:lang w:eastAsia="en-US"/>
        </w:rPr>
      </w:pPr>
      <w:r w:rsidRPr="002F2375">
        <w:rPr>
          <w:rFonts w:eastAsiaTheme="minorHAnsi"/>
          <w:color w:val="000000"/>
          <w:sz w:val="22"/>
          <w:szCs w:val="22"/>
          <w:lang w:eastAsia="en-US"/>
        </w:rPr>
        <w:t>A licitação pública, em determinados casos, em vez de proteger o interesse público, acaba impondo-lhe agravos e prejuízos. Sucede que, ao lado da necessidade de se imprimir tratamento impessoal, que não inflija discriminações</w:t>
      </w:r>
      <w:r>
        <w:rPr>
          <w:rFonts w:eastAsiaTheme="minorHAnsi"/>
          <w:color w:val="000000"/>
          <w:sz w:val="22"/>
          <w:szCs w:val="22"/>
          <w:lang w:eastAsia="en-US"/>
        </w:rPr>
        <w:t xml:space="preserve"> </w:t>
      </w:r>
      <w:r w:rsidRPr="002F2375">
        <w:rPr>
          <w:rFonts w:eastAsiaTheme="minorHAnsi"/>
          <w:color w:val="000000"/>
          <w:sz w:val="22"/>
          <w:szCs w:val="22"/>
          <w:lang w:eastAsia="en-US"/>
        </w:rPr>
        <w:t>apartadas do razoável, outros valores se referem ao interesse público, podendo</w:t>
      </w:r>
      <w:r>
        <w:rPr>
          <w:rFonts w:eastAsiaTheme="minorHAnsi"/>
          <w:color w:val="000000"/>
          <w:sz w:val="22"/>
          <w:szCs w:val="22"/>
          <w:lang w:eastAsia="en-US"/>
        </w:rPr>
        <w:t xml:space="preserve"> </w:t>
      </w:r>
      <w:r w:rsidRPr="002F2375">
        <w:rPr>
          <w:rFonts w:eastAsiaTheme="minorHAnsi"/>
          <w:color w:val="000000"/>
          <w:sz w:val="22"/>
          <w:szCs w:val="22"/>
          <w:lang w:eastAsia="en-US"/>
        </w:rPr>
        <w:t>ser postos em xeque se for realizada licitação.</w:t>
      </w:r>
    </w:p>
    <w:p w:rsidR="00555C26"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A licitação serve para preservar o interesse público, não para prejudicá-lo. Se ela compromete a satisfação do interesse público, desde que prevista pelo Legislativo, já não deve ser realizada, ela é dispensada. Tudo que a Administração Pública faz visa contemplar o interesse público, revelando-se um contrassenso adotar procedimento que o contrarie.</w:t>
      </w:r>
    </w:p>
    <w:p w:rsidR="00555C26"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Percebe-se que só é pertinente aludir à dispensa de algo que poderia ser realizado. Só se dispensa aquilo de que se dispõe, não o que está fora do alcance. Assim, dispensa de licitação pública ocorre só quando seria possível a competição, porém, se dessa maneira se procedesse, impedir-se-ia a satisfação do interesse público.</w:t>
      </w:r>
    </w:p>
    <w:p w:rsidR="00555C26"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A dispensa de licitação pública pressupõe invariavelmente a possibilidade de realizá-la, mesmo que isso impusesse sacrifício ao interesse público. Ela é, em</w:t>
      </w:r>
      <w:r>
        <w:rPr>
          <w:rFonts w:eastAsiaTheme="minorHAnsi"/>
          <w:sz w:val="22"/>
          <w:szCs w:val="22"/>
          <w:lang w:eastAsia="en-US"/>
        </w:rPr>
        <w:t xml:space="preserve"> </w:t>
      </w:r>
      <w:r w:rsidRPr="002F2375">
        <w:rPr>
          <w:rFonts w:eastAsiaTheme="minorHAnsi"/>
          <w:sz w:val="22"/>
          <w:szCs w:val="22"/>
          <w:lang w:eastAsia="en-US"/>
        </w:rPr>
        <w:t>última análise, o mecanismo de que se vale o legislador para salvaguardar o interesse público, sopesando os valores que o circundam, evitando que a realização de licitação pública erga barreiras à sua plena consecução.</w:t>
      </w:r>
    </w:p>
    <w:p w:rsidR="00555C26"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As hipóteses de dispensa são taxativamente criadas pelo legislador, em obediência ao inciso XXI do artigo 37 da Constituição Federal. Os artigos 75 e 76 da Lei n. 14.133/2021 prescrevem as hipóteses de dispensa, que são taxativas.</w:t>
      </w:r>
    </w:p>
    <w:p w:rsidR="00555C26"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Quer dizer que os agentes administrativos não gozam de competência para criar novas hipóteses de dispensa de licitação, estando limitados às criadas pelo legislador.</w:t>
      </w:r>
      <w:r>
        <w:rPr>
          <w:rFonts w:eastAsiaTheme="minorHAnsi"/>
          <w:sz w:val="22"/>
          <w:szCs w:val="22"/>
          <w:lang w:eastAsia="en-US"/>
        </w:rPr>
        <w:t xml:space="preserve"> </w:t>
      </w:r>
      <w:r w:rsidRPr="002F2375">
        <w:rPr>
          <w:rFonts w:eastAsiaTheme="minorHAnsi"/>
          <w:sz w:val="22"/>
          <w:szCs w:val="22"/>
          <w:lang w:eastAsia="en-US"/>
        </w:rPr>
        <w:t xml:space="preserve">O artigo 75 trata das dispensas em geral e é divido em 16 incisos, sendo que um deles, o inciso IV, é divido em 13 alíneas. Então, há pelo menos 28 hipóteses de dispensa de licitação apenas no artigo 75, sendo que muitas delas são bastante específicas e excepcionais, direcionadas a setores particulares da Administração Pública. </w:t>
      </w:r>
    </w:p>
    <w:p w:rsidR="00555C26"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O caso deste Parecer trata das hipóteses de dispensa prescritas no artigo 75 da Lei n. 14.133/2021, nos seus incisos I e II, que tratam da dispensa em razão do valor econômico dos futuros contratos.</w:t>
      </w:r>
    </w:p>
    <w:p w:rsidR="00555C26" w:rsidRPr="002F2375"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A dispensa de licitação pública em razão do valor econômico do contrato encontra fundamento no princípio da economicidade, cujo teor é conexo com o</w:t>
      </w:r>
      <w:r>
        <w:rPr>
          <w:rFonts w:eastAsiaTheme="minorHAnsi"/>
          <w:sz w:val="22"/>
          <w:szCs w:val="22"/>
          <w:lang w:eastAsia="en-US"/>
        </w:rPr>
        <w:t xml:space="preserve"> </w:t>
      </w:r>
      <w:r w:rsidRPr="002F2375">
        <w:rPr>
          <w:rFonts w:eastAsiaTheme="minorHAnsi"/>
          <w:sz w:val="22"/>
          <w:szCs w:val="22"/>
          <w:lang w:eastAsia="en-US"/>
        </w:rPr>
        <w:t xml:space="preserve">princípio da </w:t>
      </w:r>
      <w:r w:rsidRPr="002F2375">
        <w:rPr>
          <w:rFonts w:eastAsiaTheme="minorHAnsi"/>
          <w:sz w:val="22"/>
          <w:szCs w:val="22"/>
          <w:lang w:eastAsia="en-US"/>
        </w:rPr>
        <w:lastRenderedPageBreak/>
        <w:t>proporcionalidade, na medida em que deve haver relação proporcional entre os gastos da Administração Pública com o procedimento e as vantagens a serem auferidas com ele. Nas hipóteses em que as vantagens econômicas pretensamente produzidas pela licitação pública rivalizam com os custos a serem assumidos para levar a cabo o procedimento, passa a ser desproporcional mantê-lo obrigatório, compelindo a Administração Pública a arcar com custos financeiros para firmar contratos de pouquíssima repercussão, que não lhe trazem contrapartida.</w:t>
      </w:r>
    </w:p>
    <w:p w:rsidR="00555C26" w:rsidRPr="002F2375" w:rsidRDefault="00555C26" w:rsidP="00555C26">
      <w:pPr>
        <w:autoSpaceDE w:val="0"/>
        <w:autoSpaceDN w:val="0"/>
        <w:adjustRightInd w:val="0"/>
        <w:spacing w:line="360" w:lineRule="auto"/>
        <w:ind w:firstLine="1701"/>
        <w:jc w:val="both"/>
        <w:rPr>
          <w:rFonts w:eastAsiaTheme="minorHAnsi"/>
          <w:sz w:val="22"/>
          <w:szCs w:val="22"/>
          <w:u w:val="single"/>
          <w:lang w:eastAsia="en-US"/>
        </w:rPr>
      </w:pPr>
      <w:r w:rsidRPr="002F2375">
        <w:rPr>
          <w:rFonts w:eastAsiaTheme="minorHAnsi"/>
          <w:sz w:val="22"/>
          <w:szCs w:val="22"/>
          <w:lang w:eastAsia="en-US"/>
        </w:rPr>
        <w:t xml:space="preserve">De acordo com o critério legislativo, a licitação pública é obrigatória apenas para contratos acima de determinado patamar econômico, que justifique os gastos a serem efetuados com o respectivo procedimento. Abaixo desse patamar, o agente da Administração Pública </w:t>
      </w:r>
      <w:r w:rsidRPr="002F2375">
        <w:rPr>
          <w:rFonts w:eastAsiaTheme="minorHAnsi"/>
          <w:sz w:val="22"/>
          <w:szCs w:val="22"/>
          <w:u w:val="single"/>
          <w:lang w:eastAsia="en-US"/>
        </w:rPr>
        <w:t>está autorizado a contratar diretamente, por dispensa de licitação pública, com amparo nos incisos I e II do artigo 75 da Lei n. 14.133/2021.</w:t>
      </w:r>
    </w:p>
    <w:p w:rsidR="00555C26" w:rsidRPr="002F2375" w:rsidRDefault="00555C26" w:rsidP="00555C26">
      <w:pPr>
        <w:autoSpaceDE w:val="0"/>
        <w:autoSpaceDN w:val="0"/>
        <w:adjustRightInd w:val="0"/>
        <w:spacing w:line="360" w:lineRule="auto"/>
        <w:ind w:firstLine="1701"/>
        <w:jc w:val="both"/>
        <w:rPr>
          <w:rFonts w:eastAsiaTheme="minorHAnsi"/>
          <w:i/>
          <w:sz w:val="22"/>
          <w:szCs w:val="22"/>
          <w:lang w:eastAsia="en-US"/>
        </w:rPr>
      </w:pPr>
      <w:r w:rsidRPr="002F2375">
        <w:rPr>
          <w:rFonts w:eastAsiaTheme="minorHAnsi"/>
          <w:sz w:val="22"/>
          <w:szCs w:val="22"/>
          <w:lang w:eastAsia="en-US"/>
        </w:rPr>
        <w:t xml:space="preserve">O inciso I do artigo 75 da Lei n. 14.133/2021 reputa dispensável a licitação </w:t>
      </w:r>
      <w:r w:rsidRPr="002F2375">
        <w:rPr>
          <w:rFonts w:eastAsiaTheme="minorHAnsi"/>
          <w:i/>
          <w:sz w:val="22"/>
          <w:szCs w:val="22"/>
          <w:lang w:eastAsia="en-US"/>
        </w:rPr>
        <w:t>“para contratação que envolva valores inferiores a R$ 100.000,00 (cem mil reais), no caso de obras e serviços de engenharia ou de serviços de manutenção de veículos automotores;” O inciso II do mesmo artigo prescreve a dispensa para “para contratação que envolva valores inferiores a R$ 50.000,00 (cinquenta mil reais), no caso de outros serviços e compras;”.</w:t>
      </w:r>
    </w:p>
    <w:p w:rsidR="00555C26" w:rsidRPr="002F2375"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Antes de outras considerações, importa esclarecer que os limites econômicos previstos nos incisos I e II do artigo 75 da Lei n. 14.133/2021 não condicionam a</w:t>
      </w:r>
      <w:r>
        <w:rPr>
          <w:rFonts w:eastAsiaTheme="minorHAnsi"/>
          <w:sz w:val="22"/>
          <w:szCs w:val="22"/>
          <w:lang w:eastAsia="en-US"/>
        </w:rPr>
        <w:t xml:space="preserve"> </w:t>
      </w:r>
      <w:r w:rsidRPr="002F2375">
        <w:rPr>
          <w:rFonts w:eastAsiaTheme="minorHAnsi"/>
          <w:sz w:val="22"/>
          <w:szCs w:val="22"/>
          <w:lang w:eastAsia="en-US"/>
        </w:rPr>
        <w:t>ocorrência das outras hipóteses de dispensa prescritas nos demais incisos do artigo 75 da Lei n. 14.133/2021. Por exemplo, o inciso VIII do mesmo artigo 75 autoriza a dispensa nos casos de emergência. Os contratos realizados com fundamento nesse inciso podem ultrapassar os valores consignados nos incisos I e II, já que estes revelam hipóteses de dispensa autônomas e inconfundíveis.</w:t>
      </w:r>
    </w:p>
    <w:p w:rsidR="00555C26" w:rsidRPr="002F2375"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O ponto jurídico mais relevante no que tange a essas hipóteses de dispensa fundadas no valor econômico dos futuros contratos reside na proibição de parcelamento de contrato para alcançar em cada parcela os valores autorizadores da dispensa, conforme deflui da redação do § 1º do artigo 75 da Lei n. 14.133/2021:</w:t>
      </w:r>
    </w:p>
    <w:p w:rsidR="00555C26" w:rsidRPr="00F84F46" w:rsidRDefault="00555C26" w:rsidP="00555C26">
      <w:pPr>
        <w:autoSpaceDE w:val="0"/>
        <w:autoSpaceDN w:val="0"/>
        <w:adjustRightInd w:val="0"/>
        <w:spacing w:line="360" w:lineRule="auto"/>
        <w:ind w:left="1701"/>
        <w:jc w:val="both"/>
        <w:rPr>
          <w:rFonts w:eastAsiaTheme="minorHAnsi"/>
          <w:i/>
          <w:sz w:val="22"/>
          <w:szCs w:val="22"/>
          <w:lang w:eastAsia="en-US"/>
        </w:rPr>
      </w:pPr>
      <w:r w:rsidRPr="00F84F46">
        <w:rPr>
          <w:rFonts w:eastAsiaTheme="minorHAnsi"/>
          <w:i/>
          <w:sz w:val="22"/>
          <w:szCs w:val="22"/>
          <w:lang w:eastAsia="en-US"/>
        </w:rPr>
        <w:t xml:space="preserve">Art. 75 [...] § 1º Para fins de aferição dos valores que atendam aos limites referidos nos incisos I e II do </w:t>
      </w:r>
      <w:r w:rsidRPr="00F84F46">
        <w:rPr>
          <w:rFonts w:eastAsiaTheme="minorHAnsi"/>
          <w:i/>
          <w:iCs/>
          <w:sz w:val="22"/>
          <w:szCs w:val="22"/>
          <w:lang w:eastAsia="en-US"/>
        </w:rPr>
        <w:t xml:space="preserve">caput </w:t>
      </w:r>
      <w:r w:rsidRPr="00F84F46">
        <w:rPr>
          <w:rFonts w:eastAsiaTheme="minorHAnsi"/>
          <w:i/>
          <w:sz w:val="22"/>
          <w:szCs w:val="22"/>
          <w:lang w:eastAsia="en-US"/>
        </w:rPr>
        <w:t>deste artigo, deverão ser observados:</w:t>
      </w:r>
    </w:p>
    <w:p w:rsidR="00555C26" w:rsidRPr="00F84F46" w:rsidRDefault="00555C26" w:rsidP="00555C26">
      <w:pPr>
        <w:autoSpaceDE w:val="0"/>
        <w:autoSpaceDN w:val="0"/>
        <w:adjustRightInd w:val="0"/>
        <w:spacing w:line="360" w:lineRule="auto"/>
        <w:ind w:left="1701"/>
        <w:jc w:val="both"/>
        <w:rPr>
          <w:rFonts w:eastAsiaTheme="minorHAnsi"/>
          <w:i/>
          <w:sz w:val="22"/>
          <w:szCs w:val="22"/>
          <w:lang w:eastAsia="en-US"/>
        </w:rPr>
      </w:pPr>
      <w:r w:rsidRPr="00F84F46">
        <w:rPr>
          <w:rFonts w:eastAsiaTheme="minorHAnsi"/>
          <w:i/>
          <w:sz w:val="22"/>
          <w:szCs w:val="22"/>
          <w:lang w:eastAsia="en-US"/>
        </w:rPr>
        <w:t>I - o somatório do que for despendido no exercício financeiro pela respectiva unidade gestora;</w:t>
      </w:r>
    </w:p>
    <w:p w:rsidR="00555C26" w:rsidRPr="00F84F46" w:rsidRDefault="00555C26" w:rsidP="00555C26">
      <w:pPr>
        <w:autoSpaceDE w:val="0"/>
        <w:autoSpaceDN w:val="0"/>
        <w:adjustRightInd w:val="0"/>
        <w:spacing w:line="360" w:lineRule="auto"/>
        <w:ind w:left="1701"/>
        <w:jc w:val="both"/>
        <w:rPr>
          <w:rFonts w:eastAsiaTheme="minorHAnsi"/>
          <w:i/>
          <w:sz w:val="22"/>
          <w:szCs w:val="22"/>
          <w:lang w:eastAsia="en-US"/>
        </w:rPr>
      </w:pPr>
      <w:r w:rsidRPr="00F84F46">
        <w:rPr>
          <w:rFonts w:eastAsiaTheme="minorHAnsi"/>
          <w:i/>
          <w:sz w:val="22"/>
          <w:szCs w:val="22"/>
          <w:lang w:eastAsia="en-US"/>
        </w:rPr>
        <w:t>II - o somatório da despesa realizada com objetos de mesma natureza, entendidos como tais aqueles relativos a contratações no mesmo ramo de atividade.</w:t>
      </w:r>
    </w:p>
    <w:p w:rsidR="00555C26"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lastRenderedPageBreak/>
        <w:t xml:space="preserve">Ou seja, não é permitido fragmentar o objeto do contrato, para, em vez de firmar um só, firmar vários, visando esquivar-se da obrigatoriedade de licitação pública, já que, por hipótese, cada parte isoladamente não ultrapassaria o montante máximo previsto para a dispensa. </w:t>
      </w:r>
    </w:p>
    <w:p w:rsidR="00555C26"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 xml:space="preserve">De acordo com a redação do supracitado § 1º do artigo 75 deve-se tomar em conta tudo o que for gasto por </w:t>
      </w:r>
      <w:r w:rsidRPr="00F84F46">
        <w:rPr>
          <w:rFonts w:eastAsiaTheme="minorHAnsi"/>
          <w:sz w:val="22"/>
          <w:szCs w:val="22"/>
          <w:u w:val="single"/>
          <w:lang w:eastAsia="en-US"/>
        </w:rPr>
        <w:t>cada</w:t>
      </w:r>
      <w:r w:rsidRPr="002F2375">
        <w:rPr>
          <w:rFonts w:eastAsiaTheme="minorHAnsi"/>
          <w:sz w:val="22"/>
          <w:szCs w:val="22"/>
          <w:lang w:eastAsia="en-US"/>
        </w:rPr>
        <w:t xml:space="preserve"> unidade gestora no mesmo exercício financeiro em relação a objetos que tenham a mesma natureza, entendendo-se como tal objetos do mesmo ramo de atividade.</w:t>
      </w:r>
    </w:p>
    <w:p w:rsidR="00555C26"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Para aplicar o § 1º do artigo 75 da Lei n. 14.133/2021 é preciso compreender alguns termos. Primeiro o termo “</w:t>
      </w:r>
      <w:r w:rsidRPr="00F84F46">
        <w:rPr>
          <w:rFonts w:eastAsiaTheme="minorHAnsi"/>
          <w:i/>
          <w:sz w:val="22"/>
          <w:szCs w:val="22"/>
          <w:lang w:eastAsia="en-US"/>
        </w:rPr>
        <w:t>unidade gestora</w:t>
      </w:r>
      <w:r w:rsidRPr="002F2375">
        <w:rPr>
          <w:rFonts w:eastAsiaTheme="minorHAnsi"/>
          <w:sz w:val="22"/>
          <w:szCs w:val="22"/>
          <w:lang w:eastAsia="en-US"/>
        </w:rPr>
        <w:t>”, não definido na Lei n. 14.133/2021, embora comumente utilizado para designar “</w:t>
      </w:r>
      <w:r w:rsidRPr="00F84F46">
        <w:rPr>
          <w:rFonts w:eastAsiaTheme="minorHAnsi"/>
          <w:i/>
          <w:sz w:val="22"/>
          <w:szCs w:val="22"/>
          <w:u w:val="single"/>
          <w:lang w:eastAsia="en-US"/>
        </w:rPr>
        <w:t>Unidade orçamentária ou administrativa investida do poder de gerir recursos orçamentários e financeiros, próprios ou sob descentralização</w:t>
      </w:r>
      <w:r w:rsidRPr="002F2375">
        <w:rPr>
          <w:rFonts w:eastAsiaTheme="minorHAnsi"/>
          <w:sz w:val="22"/>
          <w:szCs w:val="22"/>
          <w:lang w:eastAsia="en-US"/>
        </w:rPr>
        <w:t>.”</w:t>
      </w:r>
    </w:p>
    <w:p w:rsidR="00555C26"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Esse sentido parece ser adequado à referência realizada pelo legislador. O outro termo é “</w:t>
      </w:r>
      <w:r w:rsidRPr="00F84F46">
        <w:rPr>
          <w:rFonts w:eastAsiaTheme="minorHAnsi"/>
          <w:i/>
          <w:sz w:val="22"/>
          <w:szCs w:val="22"/>
          <w:lang w:eastAsia="en-US"/>
        </w:rPr>
        <w:t>exercício financeiro</w:t>
      </w:r>
      <w:r w:rsidRPr="002F2375">
        <w:rPr>
          <w:rFonts w:eastAsiaTheme="minorHAnsi"/>
          <w:sz w:val="22"/>
          <w:szCs w:val="22"/>
          <w:lang w:eastAsia="en-US"/>
        </w:rPr>
        <w:t xml:space="preserve">”, que diz respeito ao período de tempo entre </w:t>
      </w:r>
      <w:r w:rsidRPr="00F84F46">
        <w:rPr>
          <w:rFonts w:eastAsiaTheme="minorHAnsi"/>
          <w:i/>
          <w:sz w:val="22"/>
          <w:szCs w:val="22"/>
          <w:lang w:eastAsia="en-US"/>
        </w:rPr>
        <w:t>01 de janeiro a 31 de dezembro</w:t>
      </w:r>
      <w:r w:rsidRPr="002F2375">
        <w:rPr>
          <w:rFonts w:eastAsiaTheme="minorHAnsi"/>
          <w:sz w:val="22"/>
          <w:szCs w:val="22"/>
          <w:lang w:eastAsia="en-US"/>
        </w:rPr>
        <w:t>. Por fim, também é de entender o que são objetos da “</w:t>
      </w:r>
      <w:r w:rsidRPr="00F84F46">
        <w:rPr>
          <w:rFonts w:eastAsiaTheme="minorHAnsi"/>
          <w:i/>
          <w:sz w:val="22"/>
          <w:szCs w:val="22"/>
          <w:lang w:eastAsia="en-US"/>
        </w:rPr>
        <w:t>mesma natureza</w:t>
      </w:r>
      <w:r w:rsidRPr="002F2375">
        <w:rPr>
          <w:rFonts w:eastAsiaTheme="minorHAnsi"/>
          <w:sz w:val="22"/>
          <w:szCs w:val="22"/>
          <w:lang w:eastAsia="en-US"/>
        </w:rPr>
        <w:t>”. O legislador considerou que objetos da mesma natureza são os que pertencem ao “</w:t>
      </w:r>
      <w:r w:rsidRPr="00F84F46">
        <w:rPr>
          <w:rFonts w:eastAsiaTheme="minorHAnsi"/>
          <w:i/>
          <w:sz w:val="22"/>
          <w:szCs w:val="22"/>
          <w:lang w:eastAsia="en-US"/>
        </w:rPr>
        <w:t>mesmo ramo de atividade</w:t>
      </w:r>
      <w:r w:rsidRPr="002F2375">
        <w:rPr>
          <w:rFonts w:eastAsiaTheme="minorHAnsi"/>
          <w:sz w:val="22"/>
          <w:szCs w:val="22"/>
          <w:lang w:eastAsia="en-US"/>
        </w:rPr>
        <w:t>”.</w:t>
      </w:r>
    </w:p>
    <w:p w:rsidR="00555C26" w:rsidRPr="002F2375"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O conceito de objeto de mesma natureza é bastante subjetivo e incerto e não há, pelo menos para a doutrina, como fugir disso. A Administração</w:t>
      </w:r>
      <w:r>
        <w:rPr>
          <w:rFonts w:eastAsiaTheme="minorHAnsi"/>
          <w:sz w:val="22"/>
          <w:szCs w:val="22"/>
          <w:lang w:eastAsia="en-US"/>
        </w:rPr>
        <w:t xml:space="preserve"> é recomendado </w:t>
      </w:r>
      <w:r w:rsidRPr="002F2375">
        <w:rPr>
          <w:rFonts w:eastAsiaTheme="minorHAnsi"/>
          <w:sz w:val="22"/>
          <w:szCs w:val="22"/>
          <w:lang w:eastAsia="en-US"/>
        </w:rPr>
        <w:t xml:space="preserve">produzir regulamento e elaborar listas indicando casuisticamente os objetos considerados da </w:t>
      </w:r>
      <w:r>
        <w:rPr>
          <w:rFonts w:eastAsiaTheme="minorHAnsi"/>
          <w:sz w:val="22"/>
          <w:szCs w:val="22"/>
          <w:lang w:eastAsia="en-US"/>
        </w:rPr>
        <w:t xml:space="preserve">mesma natureza, o que </w:t>
      </w:r>
      <w:r w:rsidRPr="002F2375">
        <w:rPr>
          <w:rFonts w:eastAsiaTheme="minorHAnsi"/>
          <w:sz w:val="22"/>
          <w:szCs w:val="22"/>
          <w:lang w:eastAsia="en-US"/>
        </w:rPr>
        <w:t>nunca seria exaustiv</w:t>
      </w:r>
      <w:r>
        <w:rPr>
          <w:rFonts w:eastAsiaTheme="minorHAnsi"/>
          <w:sz w:val="22"/>
          <w:szCs w:val="22"/>
          <w:lang w:eastAsia="en-US"/>
        </w:rPr>
        <w:t>o</w:t>
      </w:r>
      <w:r w:rsidRPr="002F2375">
        <w:rPr>
          <w:rFonts w:eastAsiaTheme="minorHAnsi"/>
          <w:sz w:val="22"/>
          <w:szCs w:val="22"/>
          <w:lang w:eastAsia="en-US"/>
        </w:rPr>
        <w:t>, mas pode servir como norte.</w:t>
      </w:r>
    </w:p>
    <w:p w:rsidR="00555C26"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 xml:space="preserve">Convém ainda destacar que a Lei Complementar n. 123/2006 </w:t>
      </w:r>
      <w:r>
        <w:rPr>
          <w:rFonts w:eastAsiaTheme="minorHAnsi"/>
          <w:sz w:val="22"/>
          <w:szCs w:val="22"/>
          <w:lang w:eastAsia="en-US"/>
        </w:rPr>
        <w:t xml:space="preserve">que </w:t>
      </w:r>
      <w:r w:rsidRPr="002F2375">
        <w:rPr>
          <w:rFonts w:eastAsiaTheme="minorHAnsi"/>
          <w:sz w:val="22"/>
          <w:szCs w:val="22"/>
          <w:lang w:eastAsia="en-US"/>
        </w:rPr>
        <w:t>trata do denominado Estatuto das Microempresas e Empresas de Pequeno Porte, com normas que as privilegiam em licitação pública e contrato administrativo. Esse regime jurídico sofreu alteração substancial com o advento da Lei Complementar n. 174/2014. O artigo 4º da Lei n. 14.133/2021 prescreve que a Lei Complementar n. 123/2006 aplica-se às licitações e contratos por ela disciplinados.</w:t>
      </w:r>
    </w:p>
    <w:p w:rsidR="00555C26" w:rsidRPr="002F2375"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t>O ponto é que os artigos 47 e 48 da Lei Complementar n. 123/2006 prescrevem</w:t>
      </w:r>
      <w:r>
        <w:rPr>
          <w:rFonts w:eastAsiaTheme="minorHAnsi"/>
          <w:sz w:val="22"/>
          <w:szCs w:val="22"/>
          <w:lang w:eastAsia="en-US"/>
        </w:rPr>
        <w:t xml:space="preserve"> </w:t>
      </w:r>
      <w:r w:rsidRPr="002F2375">
        <w:rPr>
          <w:rFonts w:eastAsiaTheme="minorHAnsi"/>
          <w:sz w:val="22"/>
          <w:szCs w:val="22"/>
          <w:lang w:eastAsia="en-US"/>
        </w:rPr>
        <w:t xml:space="preserve">tratamento diferenciado e simplificado paras as microempresas e empresas de pequeno porte em licitações públicas e contratos administrativos. O inciso I do artigo 48 da Lei Complementar n. 123/2006 obriga que se realize licitação exclusiva para microempresas e empresas de pequeno porte nos casos em que o valor do contrato não ultrapasse R$80.000,00. Boa parte dos contratos firmados com base nas dispensas de licitação dos incisos I e II do artigo 75 da Lei n. 14.133/2021 não ultrapassa R$80.000,00. </w:t>
      </w:r>
    </w:p>
    <w:p w:rsidR="00555C26" w:rsidRPr="002F2375" w:rsidRDefault="00555C26" w:rsidP="00555C26">
      <w:pPr>
        <w:autoSpaceDE w:val="0"/>
        <w:autoSpaceDN w:val="0"/>
        <w:adjustRightInd w:val="0"/>
        <w:spacing w:line="360" w:lineRule="auto"/>
        <w:ind w:firstLine="1701"/>
        <w:jc w:val="both"/>
        <w:rPr>
          <w:rFonts w:eastAsiaTheme="minorHAnsi"/>
          <w:sz w:val="22"/>
          <w:szCs w:val="22"/>
          <w:lang w:eastAsia="en-US"/>
        </w:rPr>
      </w:pPr>
      <w:r w:rsidRPr="002F2375">
        <w:rPr>
          <w:rFonts w:eastAsiaTheme="minorHAnsi"/>
          <w:sz w:val="22"/>
          <w:szCs w:val="22"/>
          <w:lang w:eastAsia="en-US"/>
        </w:rPr>
        <w:lastRenderedPageBreak/>
        <w:t>Relembre-se que os limites para as dispensas dos incisos I e II do artigo 75 da Lei n. 14.133/2021 são, para engenharia e manutenção de veículos automotores para engenharia, R$100.000,00, e, para os demais objetos, R$50.000,00. Dessa sorte, embora o texto do inciso I do artigo 48 da Lei Complementar n. 123/2006 refira-se expressamente à licitação e não à dispensa, é de estender a sua aplicação, também, para as hipóteses de dispensa, sobremodo às dos incisos I e II do artigo 75 da Lei n. 14.133/2021.</w:t>
      </w:r>
    </w:p>
    <w:p w:rsidR="00555C26" w:rsidRPr="002F2375" w:rsidRDefault="00555C26" w:rsidP="00555C26">
      <w:pPr>
        <w:pStyle w:val="NormalWeb"/>
        <w:shd w:val="clear" w:color="auto" w:fill="FFFFFF"/>
        <w:spacing w:before="0" w:beforeAutospacing="0" w:after="0" w:afterAutospacing="0" w:line="360" w:lineRule="auto"/>
        <w:ind w:firstLine="1701"/>
        <w:jc w:val="both"/>
        <w:rPr>
          <w:sz w:val="22"/>
          <w:szCs w:val="22"/>
        </w:rPr>
      </w:pPr>
      <w:r w:rsidRPr="002F2375">
        <w:rPr>
          <w:sz w:val="22"/>
          <w:szCs w:val="22"/>
        </w:rPr>
        <w:t>Nos autos, a justificativa da contratação, com exposição da sua motivação e dos benefícios dela resultantes, foi devidamente apresentada</w:t>
      </w:r>
      <w:r>
        <w:rPr>
          <w:sz w:val="22"/>
          <w:szCs w:val="22"/>
        </w:rPr>
        <w:t xml:space="preserve">, cumprindo a exigência da Lei </w:t>
      </w:r>
      <w:r w:rsidRPr="002F2375">
        <w:rPr>
          <w:rFonts w:eastAsiaTheme="minorHAnsi"/>
          <w:sz w:val="22"/>
          <w:szCs w:val="22"/>
          <w:lang w:eastAsia="en-US"/>
        </w:rPr>
        <w:t>14.133/2021</w:t>
      </w:r>
      <w:r w:rsidRPr="002F2375">
        <w:rPr>
          <w:sz w:val="22"/>
          <w:szCs w:val="22"/>
        </w:rPr>
        <w:t>. Verifica-se a chancela da autoridade competente.</w:t>
      </w:r>
      <w:r>
        <w:rPr>
          <w:sz w:val="22"/>
          <w:szCs w:val="22"/>
        </w:rPr>
        <w:t xml:space="preserve"> </w:t>
      </w:r>
      <w:r w:rsidRPr="002F2375">
        <w:rPr>
          <w:sz w:val="22"/>
          <w:szCs w:val="22"/>
        </w:rPr>
        <w:t>É importante lembrar que a teoria dos motivos determinantes preconiza que os atos administrativos, quando motivados, ficam vinculados aos motivos expostos, para todos os efeitos jurídicos. Até mesmo sua validade dependerá da efetiva existência dos motivos apresentados.</w:t>
      </w:r>
    </w:p>
    <w:p w:rsidR="00555C26" w:rsidRPr="002F2375" w:rsidRDefault="00555C26" w:rsidP="00555C26">
      <w:pPr>
        <w:pStyle w:val="NormalWeb"/>
        <w:shd w:val="clear" w:color="auto" w:fill="FFFFFF"/>
        <w:spacing w:before="0" w:beforeAutospacing="0" w:after="0" w:afterAutospacing="0" w:line="360" w:lineRule="auto"/>
        <w:ind w:firstLine="1701"/>
        <w:jc w:val="both"/>
        <w:rPr>
          <w:sz w:val="22"/>
          <w:szCs w:val="22"/>
        </w:rPr>
      </w:pPr>
    </w:p>
    <w:p w:rsidR="00555C26" w:rsidRPr="002F2375" w:rsidRDefault="00555C26" w:rsidP="00555C26">
      <w:pPr>
        <w:pStyle w:val="NormalWeb"/>
        <w:shd w:val="clear" w:color="auto" w:fill="FFFFFF"/>
        <w:spacing w:before="0" w:beforeAutospacing="0" w:after="0" w:afterAutospacing="0" w:line="360" w:lineRule="auto"/>
        <w:jc w:val="both"/>
        <w:rPr>
          <w:b/>
          <w:sz w:val="22"/>
          <w:szCs w:val="22"/>
        </w:rPr>
      </w:pPr>
      <w:r w:rsidRPr="002F2375">
        <w:rPr>
          <w:b/>
          <w:sz w:val="22"/>
          <w:szCs w:val="22"/>
        </w:rPr>
        <w:t>DAS COTAÇÕES</w:t>
      </w:r>
    </w:p>
    <w:p w:rsidR="00555C26" w:rsidRPr="002F2375" w:rsidRDefault="00555C26" w:rsidP="00555C26">
      <w:pPr>
        <w:pStyle w:val="NormalWeb"/>
        <w:shd w:val="clear" w:color="auto" w:fill="FFFFFF"/>
        <w:spacing w:before="0" w:beforeAutospacing="0" w:after="0" w:afterAutospacing="0" w:line="360" w:lineRule="auto"/>
        <w:ind w:firstLine="1701"/>
        <w:jc w:val="both"/>
        <w:rPr>
          <w:sz w:val="22"/>
          <w:szCs w:val="22"/>
        </w:rPr>
      </w:pPr>
      <w:r w:rsidRPr="002F2375">
        <w:rPr>
          <w:sz w:val="22"/>
          <w:szCs w:val="22"/>
        </w:rPr>
        <w:t xml:space="preserve">No processo em epígrafe, verificou-se a juntada aos autos de cotações com a devida à natureza do objeto do procedimento. Contudo, buscando averiguar os valores praticados com a Administração Pública, na forma do art. </w:t>
      </w:r>
      <w:r>
        <w:rPr>
          <w:sz w:val="22"/>
          <w:szCs w:val="22"/>
        </w:rPr>
        <w:t>23</w:t>
      </w:r>
      <w:r w:rsidRPr="002F2375">
        <w:rPr>
          <w:sz w:val="22"/>
          <w:szCs w:val="22"/>
        </w:rPr>
        <w:t xml:space="preserve">, inciso </w:t>
      </w:r>
      <w:r>
        <w:rPr>
          <w:sz w:val="22"/>
          <w:szCs w:val="22"/>
        </w:rPr>
        <w:t>I</w:t>
      </w:r>
      <w:r w:rsidRPr="002F2375">
        <w:rPr>
          <w:sz w:val="22"/>
          <w:szCs w:val="22"/>
        </w:rPr>
        <w:t xml:space="preserve">V da Lei nº. </w:t>
      </w:r>
      <w:r w:rsidRPr="002F2375">
        <w:rPr>
          <w:rFonts w:eastAsiaTheme="minorHAnsi"/>
          <w:sz w:val="22"/>
          <w:szCs w:val="22"/>
          <w:lang w:eastAsia="en-US"/>
        </w:rPr>
        <w:t>14.133/2021</w:t>
      </w:r>
      <w:r w:rsidRPr="002F2375">
        <w:rPr>
          <w:sz w:val="22"/>
          <w:szCs w:val="22"/>
        </w:rPr>
        <w:t xml:space="preserve">, </w:t>
      </w:r>
      <w:r>
        <w:rPr>
          <w:sz w:val="22"/>
          <w:szCs w:val="22"/>
        </w:rPr>
        <w:t xml:space="preserve">e caso entenda necessário, </w:t>
      </w:r>
      <w:r w:rsidRPr="002F2375">
        <w:rPr>
          <w:sz w:val="22"/>
          <w:szCs w:val="22"/>
        </w:rPr>
        <w:t xml:space="preserve">esta secretaria pode ainda solicitar a empresa em comento demonstrativos que corroborem o valor em comparação a demais órgão/entes públicos como nota de empenho, contratos anteriores etc. </w:t>
      </w:r>
    </w:p>
    <w:p w:rsidR="00555C26" w:rsidRPr="002F2375" w:rsidRDefault="00555C26" w:rsidP="00555C26">
      <w:pPr>
        <w:pStyle w:val="NormalWeb"/>
        <w:shd w:val="clear" w:color="auto" w:fill="FFFFFF"/>
        <w:spacing w:before="0" w:beforeAutospacing="0" w:after="0" w:afterAutospacing="0" w:line="360" w:lineRule="auto"/>
        <w:ind w:firstLine="1701"/>
        <w:jc w:val="both"/>
        <w:rPr>
          <w:sz w:val="22"/>
          <w:szCs w:val="22"/>
        </w:rPr>
      </w:pPr>
      <w:r w:rsidRPr="002F2375">
        <w:rPr>
          <w:sz w:val="22"/>
          <w:szCs w:val="22"/>
        </w:rPr>
        <w:t>Assim, diante do exposto nos documentos aqui colecionados, restou comprovado ser o valor médio de mercado praticad</w:t>
      </w:r>
      <w:r>
        <w:rPr>
          <w:sz w:val="22"/>
          <w:szCs w:val="22"/>
        </w:rPr>
        <w:t>o com a Administração ofertado s</w:t>
      </w:r>
      <w:r w:rsidRPr="002F2375">
        <w:rPr>
          <w:sz w:val="22"/>
          <w:szCs w:val="22"/>
        </w:rPr>
        <w:t xml:space="preserve">egundo cotações juntadas aos autos </w:t>
      </w:r>
      <w:proofErr w:type="spellStart"/>
      <w:r w:rsidRPr="002F2375">
        <w:rPr>
          <w:sz w:val="22"/>
          <w:szCs w:val="22"/>
        </w:rPr>
        <w:t>comparadamente</w:t>
      </w:r>
      <w:proofErr w:type="spellEnd"/>
      <w:r w:rsidRPr="002F2375">
        <w:rPr>
          <w:sz w:val="22"/>
          <w:szCs w:val="22"/>
        </w:rPr>
        <w:t xml:space="preserve"> a pesquisa realizada, demonstra-se que a contratação está dentro do valor de mercado. </w:t>
      </w:r>
    </w:p>
    <w:p w:rsidR="00555C26" w:rsidRPr="002F2375" w:rsidRDefault="00555C26" w:rsidP="00555C26">
      <w:pPr>
        <w:pStyle w:val="NormalWeb"/>
        <w:shd w:val="clear" w:color="auto" w:fill="FFFFFF"/>
        <w:spacing w:before="0" w:beforeAutospacing="0" w:after="0" w:afterAutospacing="0" w:line="360" w:lineRule="auto"/>
        <w:jc w:val="both"/>
        <w:rPr>
          <w:b/>
          <w:sz w:val="22"/>
          <w:szCs w:val="22"/>
        </w:rPr>
      </w:pPr>
      <w:r w:rsidRPr="002F2375">
        <w:rPr>
          <w:b/>
          <w:sz w:val="22"/>
          <w:szCs w:val="22"/>
        </w:rPr>
        <w:t>CONCLUSÃO</w:t>
      </w:r>
    </w:p>
    <w:p w:rsidR="00555C26" w:rsidRPr="001E5AFD" w:rsidRDefault="00555C26" w:rsidP="00555C26">
      <w:pPr>
        <w:pStyle w:val="NormalWeb"/>
        <w:shd w:val="clear" w:color="auto" w:fill="FFFFFF"/>
        <w:spacing w:before="0" w:beforeAutospacing="0" w:after="0" w:afterAutospacing="0" w:line="360" w:lineRule="auto"/>
        <w:ind w:firstLine="1701"/>
        <w:jc w:val="both"/>
        <w:rPr>
          <w:sz w:val="22"/>
          <w:szCs w:val="22"/>
        </w:rPr>
      </w:pPr>
      <w:r w:rsidRPr="001E5AFD">
        <w:rPr>
          <w:sz w:val="22"/>
          <w:szCs w:val="22"/>
        </w:rPr>
        <w:t xml:space="preserve">Assim, considerando que a contratação do serviço pode ser feita sem procedimento licitatório, pois a situação se enquadra nas hipóteses do art. </w:t>
      </w:r>
      <w:r>
        <w:rPr>
          <w:sz w:val="22"/>
          <w:szCs w:val="22"/>
        </w:rPr>
        <w:t>75</w:t>
      </w:r>
      <w:r w:rsidRPr="001E5AFD">
        <w:rPr>
          <w:sz w:val="22"/>
          <w:szCs w:val="22"/>
        </w:rPr>
        <w:t>, inciso I</w:t>
      </w:r>
      <w:r>
        <w:rPr>
          <w:sz w:val="22"/>
          <w:szCs w:val="22"/>
        </w:rPr>
        <w:t>I</w:t>
      </w:r>
      <w:r w:rsidRPr="001E5AFD">
        <w:rPr>
          <w:sz w:val="22"/>
          <w:szCs w:val="22"/>
        </w:rPr>
        <w:t xml:space="preserve"> da Lei nº</w:t>
      </w:r>
      <w:r>
        <w:rPr>
          <w:sz w:val="22"/>
          <w:szCs w:val="22"/>
        </w:rPr>
        <w:t xml:space="preserve"> 14.133/21</w:t>
      </w:r>
      <w:r w:rsidRPr="001E5AFD">
        <w:rPr>
          <w:sz w:val="22"/>
          <w:szCs w:val="22"/>
        </w:rPr>
        <w:t>, opinamos pela possibilidade de contratação direta</w:t>
      </w:r>
      <w:r>
        <w:rPr>
          <w:sz w:val="22"/>
          <w:szCs w:val="22"/>
        </w:rPr>
        <w:t>.</w:t>
      </w:r>
    </w:p>
    <w:p w:rsidR="00555C26" w:rsidRPr="001E5AFD" w:rsidRDefault="00555C26" w:rsidP="00555C26">
      <w:pPr>
        <w:pStyle w:val="NormalWeb"/>
        <w:shd w:val="clear" w:color="auto" w:fill="FFFFFF"/>
        <w:spacing w:before="0" w:beforeAutospacing="0" w:after="0" w:afterAutospacing="0" w:line="360" w:lineRule="auto"/>
        <w:ind w:firstLine="1701"/>
        <w:jc w:val="both"/>
        <w:rPr>
          <w:sz w:val="22"/>
          <w:szCs w:val="22"/>
        </w:rPr>
      </w:pPr>
      <w:r w:rsidRPr="001E5AFD">
        <w:rPr>
          <w:sz w:val="22"/>
          <w:szCs w:val="22"/>
        </w:rPr>
        <w:t>Destaco para que sejam observados todos os requisitos legais de contratação com a municipalidade, e que a publicação do extrato da dispensa seja publicado em imprensa oficial.</w:t>
      </w:r>
    </w:p>
    <w:p w:rsidR="00555C26" w:rsidRPr="002F2375" w:rsidRDefault="00555C26" w:rsidP="00555C26">
      <w:pPr>
        <w:pStyle w:val="NormalWeb"/>
        <w:shd w:val="clear" w:color="auto" w:fill="FFFFFF"/>
        <w:spacing w:before="0" w:beforeAutospacing="0" w:after="0" w:afterAutospacing="0" w:line="360" w:lineRule="auto"/>
        <w:ind w:firstLine="1701"/>
        <w:jc w:val="both"/>
        <w:rPr>
          <w:spacing w:val="2"/>
          <w:sz w:val="22"/>
          <w:szCs w:val="22"/>
        </w:rPr>
      </w:pPr>
      <w:r w:rsidRPr="002F2375">
        <w:rPr>
          <w:spacing w:val="2"/>
          <w:sz w:val="22"/>
          <w:szCs w:val="22"/>
        </w:rPr>
        <w:t>É o parecer. S.M.J.</w:t>
      </w:r>
    </w:p>
    <w:p w:rsidR="00555C26" w:rsidRPr="002F2375" w:rsidRDefault="00555C26" w:rsidP="00555C26">
      <w:pPr>
        <w:pStyle w:val="NormalWeb"/>
        <w:shd w:val="clear" w:color="auto" w:fill="FFFFFF"/>
        <w:spacing w:before="0" w:beforeAutospacing="0" w:after="0" w:afterAutospacing="0" w:line="360" w:lineRule="auto"/>
        <w:ind w:firstLine="1701"/>
        <w:jc w:val="right"/>
        <w:rPr>
          <w:spacing w:val="2"/>
          <w:sz w:val="22"/>
          <w:szCs w:val="22"/>
        </w:rPr>
      </w:pPr>
      <w:r>
        <w:rPr>
          <w:spacing w:val="2"/>
          <w:sz w:val="22"/>
          <w:szCs w:val="22"/>
        </w:rPr>
        <w:t>Novo Jardim</w:t>
      </w:r>
      <w:r w:rsidRPr="002F2375">
        <w:rPr>
          <w:spacing w:val="2"/>
          <w:sz w:val="22"/>
          <w:szCs w:val="22"/>
        </w:rPr>
        <w:t xml:space="preserve"> – TO, </w:t>
      </w:r>
      <w:r w:rsidR="006518EA">
        <w:rPr>
          <w:spacing w:val="2"/>
          <w:sz w:val="22"/>
          <w:szCs w:val="22"/>
        </w:rPr>
        <w:t>27</w:t>
      </w:r>
      <w:r w:rsidRPr="002F2375">
        <w:rPr>
          <w:spacing w:val="2"/>
          <w:sz w:val="22"/>
          <w:szCs w:val="22"/>
        </w:rPr>
        <w:t xml:space="preserve"> de </w:t>
      </w:r>
      <w:r>
        <w:rPr>
          <w:spacing w:val="2"/>
          <w:sz w:val="22"/>
          <w:szCs w:val="22"/>
        </w:rPr>
        <w:t>abril</w:t>
      </w:r>
      <w:r w:rsidRPr="002F2375">
        <w:rPr>
          <w:spacing w:val="2"/>
          <w:sz w:val="22"/>
          <w:szCs w:val="22"/>
        </w:rPr>
        <w:t xml:space="preserve"> de 2021.</w:t>
      </w:r>
    </w:p>
    <w:p w:rsidR="00555C26" w:rsidRPr="002F2375" w:rsidRDefault="00555C26" w:rsidP="00555C26">
      <w:pPr>
        <w:pStyle w:val="NormalWeb"/>
        <w:shd w:val="clear" w:color="auto" w:fill="FFFFFF"/>
        <w:spacing w:before="0" w:beforeAutospacing="0" w:after="0" w:afterAutospacing="0" w:line="360" w:lineRule="auto"/>
        <w:ind w:firstLine="1701"/>
        <w:jc w:val="both"/>
        <w:rPr>
          <w:spacing w:val="2"/>
          <w:sz w:val="22"/>
          <w:szCs w:val="22"/>
        </w:rPr>
      </w:pPr>
    </w:p>
    <w:p w:rsidR="00555C26" w:rsidRPr="002F2375" w:rsidRDefault="00555C26" w:rsidP="00555C26">
      <w:pPr>
        <w:pStyle w:val="NormalWeb"/>
        <w:shd w:val="clear" w:color="auto" w:fill="FFFFFF"/>
        <w:spacing w:before="0" w:beforeAutospacing="0" w:after="0" w:afterAutospacing="0" w:line="360" w:lineRule="auto"/>
        <w:jc w:val="center"/>
        <w:rPr>
          <w:b/>
          <w:spacing w:val="2"/>
          <w:sz w:val="22"/>
          <w:szCs w:val="22"/>
        </w:rPr>
      </w:pPr>
      <w:r w:rsidRPr="002F2375">
        <w:rPr>
          <w:b/>
          <w:spacing w:val="2"/>
          <w:sz w:val="22"/>
          <w:szCs w:val="22"/>
        </w:rPr>
        <w:t>TENNER AIRES RODRIGUES</w:t>
      </w:r>
    </w:p>
    <w:p w:rsidR="001D3790" w:rsidRPr="00555C26" w:rsidRDefault="00555C26" w:rsidP="00555C26">
      <w:pPr>
        <w:pStyle w:val="NormalWeb"/>
        <w:shd w:val="clear" w:color="auto" w:fill="FFFFFF"/>
        <w:spacing w:before="0" w:beforeAutospacing="0" w:after="0" w:afterAutospacing="0" w:line="360" w:lineRule="auto"/>
        <w:jc w:val="center"/>
      </w:pPr>
      <w:r w:rsidRPr="002F2375">
        <w:rPr>
          <w:spacing w:val="2"/>
          <w:sz w:val="22"/>
          <w:szCs w:val="22"/>
        </w:rPr>
        <w:t>OAB-TO 4282</w:t>
      </w:r>
    </w:p>
    <w:sectPr w:rsidR="001D3790" w:rsidRPr="00555C26" w:rsidSect="00783049">
      <w:headerReference w:type="default" r:id="rId7"/>
      <w:footerReference w:type="default" r:id="rId8"/>
      <w:pgSz w:w="11906" w:h="16838" w:code="9"/>
      <w:pgMar w:top="1134" w:right="1416"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42E" w:rsidRDefault="009B542E">
      <w:r>
        <w:separator/>
      </w:r>
    </w:p>
  </w:endnote>
  <w:endnote w:type="continuationSeparator" w:id="0">
    <w:p w:rsidR="009B542E" w:rsidRDefault="009B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047" w:rsidRDefault="00BC27A5" w:rsidP="00783049">
    <w:pPr>
      <w:pStyle w:val="Rodap"/>
      <w:rPr>
        <w:b/>
        <w:color w:val="000000"/>
      </w:rPr>
    </w:pPr>
    <w:r>
      <w:rPr>
        <w:b/>
        <w:color w:val="000000"/>
      </w:rPr>
      <w:t>__________________________________________________________________________</w:t>
    </w:r>
  </w:p>
  <w:p w:rsidR="00C47047" w:rsidRPr="00783049" w:rsidRDefault="00BC27A5" w:rsidP="00783049">
    <w:pPr>
      <w:pStyle w:val="Rodap"/>
      <w:jc w:val="center"/>
    </w:pPr>
    <w:r w:rsidRPr="00783049">
      <w:rPr>
        <w:color w:val="000000"/>
      </w:rPr>
      <w:t xml:space="preserve">Praça Coronel Abílio </w:t>
    </w:r>
    <w:proofErr w:type="spellStart"/>
    <w:r w:rsidRPr="00783049">
      <w:rPr>
        <w:color w:val="000000"/>
      </w:rPr>
      <w:t>Wolney</w:t>
    </w:r>
    <w:proofErr w:type="spellEnd"/>
    <w:r w:rsidRPr="00783049">
      <w:rPr>
        <w:color w:val="000000"/>
      </w:rPr>
      <w:t>, s/n – Centro</w:t>
    </w:r>
    <w:proofErr w:type="gramStart"/>
    <w:r w:rsidRPr="00783049">
      <w:rPr>
        <w:color w:val="000000"/>
      </w:rPr>
      <w:t xml:space="preserve">  </w:t>
    </w:r>
    <w:proofErr w:type="gramEnd"/>
    <w:r w:rsidRPr="00783049">
      <w:rPr>
        <w:color w:val="000000"/>
      </w:rPr>
      <w:t>– Novo Jardim / TO – CEP: 77.318-000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42E" w:rsidRDefault="009B542E">
      <w:r>
        <w:separator/>
      </w:r>
    </w:p>
  </w:footnote>
  <w:footnote w:type="continuationSeparator" w:id="0">
    <w:p w:rsidR="009B542E" w:rsidRDefault="009B5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047" w:rsidRDefault="009B542E" w:rsidP="00C47047">
    <w:pPr>
      <w:pStyle w:val="Cabealho"/>
      <w:jc w:val="center"/>
      <w:rPr>
        <w:noProof/>
      </w:rPr>
    </w:pPr>
  </w:p>
  <w:p w:rsidR="00C47047" w:rsidRDefault="00BC27A5" w:rsidP="00C47047">
    <w:pPr>
      <w:pStyle w:val="Cabealho"/>
      <w:pBdr>
        <w:bottom w:val="single" w:sz="12" w:space="1" w:color="auto"/>
      </w:pBdr>
      <w:jc w:val="center"/>
      <w:rPr>
        <w:noProof/>
      </w:rPr>
    </w:pPr>
    <w:r>
      <w:rPr>
        <w:noProof/>
      </w:rPr>
      <w:drawing>
        <wp:inline distT="0" distB="0" distL="0" distR="0" wp14:anchorId="20D7E9AF" wp14:editId="162CA010">
          <wp:extent cx="2159635" cy="973455"/>
          <wp:effectExtent l="0" t="0" r="0" b="0"/>
          <wp:docPr id="7" name="Imagem 7" descr="C:\Users\Cliente\Downloads\LOGO PREFEITURA.png"/>
          <wp:cNvGraphicFramePr/>
          <a:graphic xmlns:a="http://schemas.openxmlformats.org/drawingml/2006/main">
            <a:graphicData uri="http://schemas.openxmlformats.org/drawingml/2006/picture">
              <pic:pic xmlns:pic="http://schemas.openxmlformats.org/drawingml/2006/picture">
                <pic:nvPicPr>
                  <pic:cNvPr id="3" name="Imagem 3" descr="C:\Users\Cliente\Downloads\LOGO PREFEITURA.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973455"/>
                  </a:xfrm>
                  <a:prstGeom prst="rect">
                    <a:avLst/>
                  </a:prstGeom>
                  <a:noFill/>
                  <a:ln>
                    <a:noFill/>
                  </a:ln>
                </pic:spPr>
              </pic:pic>
            </a:graphicData>
          </a:graphic>
        </wp:inline>
      </w:drawing>
    </w:r>
  </w:p>
  <w:p w:rsidR="00783049" w:rsidRDefault="00783049" w:rsidP="00C47047">
    <w:pPr>
      <w:pStyle w:val="Cabealho"/>
      <w:jc w:val="center"/>
      <w:rPr>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DBD"/>
    <w:rsid w:val="000B5A99"/>
    <w:rsid w:val="00152A24"/>
    <w:rsid w:val="001D3790"/>
    <w:rsid w:val="00245E4B"/>
    <w:rsid w:val="003A4346"/>
    <w:rsid w:val="00456A6D"/>
    <w:rsid w:val="00555C26"/>
    <w:rsid w:val="0055696A"/>
    <w:rsid w:val="00637B3B"/>
    <w:rsid w:val="006518EA"/>
    <w:rsid w:val="006569F2"/>
    <w:rsid w:val="00776474"/>
    <w:rsid w:val="00783049"/>
    <w:rsid w:val="009B542E"/>
    <w:rsid w:val="00A24DBD"/>
    <w:rsid w:val="00B70487"/>
    <w:rsid w:val="00BA33D6"/>
    <w:rsid w:val="00BC27A5"/>
    <w:rsid w:val="00EC0F08"/>
    <w:rsid w:val="00FB1A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DB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24DBD"/>
    <w:pPr>
      <w:tabs>
        <w:tab w:val="center" w:pos="4252"/>
        <w:tab w:val="right" w:pos="8504"/>
      </w:tabs>
    </w:pPr>
  </w:style>
  <w:style w:type="character" w:customStyle="1" w:styleId="CabealhoChar">
    <w:name w:val="Cabeçalho Char"/>
    <w:basedOn w:val="Fontepargpadro"/>
    <w:link w:val="Cabealho"/>
    <w:uiPriority w:val="99"/>
    <w:rsid w:val="00A24DBD"/>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A24DBD"/>
    <w:pPr>
      <w:tabs>
        <w:tab w:val="center" w:pos="4252"/>
        <w:tab w:val="right" w:pos="8504"/>
      </w:tabs>
    </w:pPr>
  </w:style>
  <w:style w:type="character" w:customStyle="1" w:styleId="RodapChar">
    <w:name w:val="Rodapé Char"/>
    <w:basedOn w:val="Fontepargpadro"/>
    <w:link w:val="Rodap"/>
    <w:uiPriority w:val="99"/>
    <w:rsid w:val="00A24DBD"/>
    <w:rPr>
      <w:rFonts w:ascii="Times New Roman" w:eastAsia="Times New Roman" w:hAnsi="Times New Roman" w:cs="Times New Roman"/>
      <w:sz w:val="24"/>
      <w:szCs w:val="24"/>
      <w:lang w:eastAsia="pt-BR"/>
    </w:rPr>
  </w:style>
  <w:style w:type="paragraph" w:styleId="SemEspaamento">
    <w:name w:val="No Spacing"/>
    <w:uiPriority w:val="1"/>
    <w:qFormat/>
    <w:rsid w:val="00A24DBD"/>
    <w:pPr>
      <w:spacing w:after="0" w:line="240" w:lineRule="auto"/>
    </w:pPr>
  </w:style>
  <w:style w:type="paragraph" w:styleId="Textodebalo">
    <w:name w:val="Balloon Text"/>
    <w:basedOn w:val="Normal"/>
    <w:link w:val="TextodebaloChar"/>
    <w:uiPriority w:val="99"/>
    <w:semiHidden/>
    <w:unhideWhenUsed/>
    <w:rsid w:val="00A24DBD"/>
    <w:rPr>
      <w:rFonts w:ascii="Tahoma" w:hAnsi="Tahoma" w:cs="Tahoma"/>
      <w:sz w:val="16"/>
      <w:szCs w:val="16"/>
    </w:rPr>
  </w:style>
  <w:style w:type="character" w:customStyle="1" w:styleId="TextodebaloChar">
    <w:name w:val="Texto de balão Char"/>
    <w:basedOn w:val="Fontepargpadro"/>
    <w:link w:val="Textodebalo"/>
    <w:uiPriority w:val="99"/>
    <w:semiHidden/>
    <w:rsid w:val="00A24DBD"/>
    <w:rPr>
      <w:rFonts w:ascii="Tahoma" w:eastAsia="Times New Roman" w:hAnsi="Tahoma" w:cs="Tahoma"/>
      <w:sz w:val="16"/>
      <w:szCs w:val="16"/>
      <w:lang w:eastAsia="pt-BR"/>
    </w:rPr>
  </w:style>
  <w:style w:type="paragraph" w:styleId="NormalWeb">
    <w:name w:val="Normal (Web)"/>
    <w:basedOn w:val="Normal"/>
    <w:uiPriority w:val="99"/>
    <w:unhideWhenUsed/>
    <w:rsid w:val="00637B3B"/>
    <w:pPr>
      <w:spacing w:before="100" w:beforeAutospacing="1" w:after="100" w:afterAutospacing="1"/>
    </w:pPr>
  </w:style>
  <w:style w:type="character" w:styleId="Forte">
    <w:name w:val="Strong"/>
    <w:basedOn w:val="Fontepargpadro"/>
    <w:uiPriority w:val="22"/>
    <w:qFormat/>
    <w:rsid w:val="00637B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DB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24DBD"/>
    <w:pPr>
      <w:tabs>
        <w:tab w:val="center" w:pos="4252"/>
        <w:tab w:val="right" w:pos="8504"/>
      </w:tabs>
    </w:pPr>
  </w:style>
  <w:style w:type="character" w:customStyle="1" w:styleId="CabealhoChar">
    <w:name w:val="Cabeçalho Char"/>
    <w:basedOn w:val="Fontepargpadro"/>
    <w:link w:val="Cabealho"/>
    <w:uiPriority w:val="99"/>
    <w:rsid w:val="00A24DBD"/>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A24DBD"/>
    <w:pPr>
      <w:tabs>
        <w:tab w:val="center" w:pos="4252"/>
        <w:tab w:val="right" w:pos="8504"/>
      </w:tabs>
    </w:pPr>
  </w:style>
  <w:style w:type="character" w:customStyle="1" w:styleId="RodapChar">
    <w:name w:val="Rodapé Char"/>
    <w:basedOn w:val="Fontepargpadro"/>
    <w:link w:val="Rodap"/>
    <w:uiPriority w:val="99"/>
    <w:rsid w:val="00A24DBD"/>
    <w:rPr>
      <w:rFonts w:ascii="Times New Roman" w:eastAsia="Times New Roman" w:hAnsi="Times New Roman" w:cs="Times New Roman"/>
      <w:sz w:val="24"/>
      <w:szCs w:val="24"/>
      <w:lang w:eastAsia="pt-BR"/>
    </w:rPr>
  </w:style>
  <w:style w:type="paragraph" w:styleId="SemEspaamento">
    <w:name w:val="No Spacing"/>
    <w:uiPriority w:val="1"/>
    <w:qFormat/>
    <w:rsid w:val="00A24DBD"/>
    <w:pPr>
      <w:spacing w:after="0" w:line="240" w:lineRule="auto"/>
    </w:pPr>
  </w:style>
  <w:style w:type="paragraph" w:styleId="Textodebalo">
    <w:name w:val="Balloon Text"/>
    <w:basedOn w:val="Normal"/>
    <w:link w:val="TextodebaloChar"/>
    <w:uiPriority w:val="99"/>
    <w:semiHidden/>
    <w:unhideWhenUsed/>
    <w:rsid w:val="00A24DBD"/>
    <w:rPr>
      <w:rFonts w:ascii="Tahoma" w:hAnsi="Tahoma" w:cs="Tahoma"/>
      <w:sz w:val="16"/>
      <w:szCs w:val="16"/>
    </w:rPr>
  </w:style>
  <w:style w:type="character" w:customStyle="1" w:styleId="TextodebaloChar">
    <w:name w:val="Texto de balão Char"/>
    <w:basedOn w:val="Fontepargpadro"/>
    <w:link w:val="Textodebalo"/>
    <w:uiPriority w:val="99"/>
    <w:semiHidden/>
    <w:rsid w:val="00A24DBD"/>
    <w:rPr>
      <w:rFonts w:ascii="Tahoma" w:eastAsia="Times New Roman" w:hAnsi="Tahoma" w:cs="Tahoma"/>
      <w:sz w:val="16"/>
      <w:szCs w:val="16"/>
      <w:lang w:eastAsia="pt-BR"/>
    </w:rPr>
  </w:style>
  <w:style w:type="paragraph" w:styleId="NormalWeb">
    <w:name w:val="Normal (Web)"/>
    <w:basedOn w:val="Normal"/>
    <w:uiPriority w:val="99"/>
    <w:unhideWhenUsed/>
    <w:rsid w:val="00637B3B"/>
    <w:pPr>
      <w:spacing w:before="100" w:beforeAutospacing="1" w:after="100" w:afterAutospacing="1"/>
    </w:pPr>
  </w:style>
  <w:style w:type="character" w:styleId="Forte">
    <w:name w:val="Strong"/>
    <w:basedOn w:val="Fontepargpadro"/>
    <w:uiPriority w:val="22"/>
    <w:qFormat/>
    <w:rsid w:val="00637B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2327</Words>
  <Characters>12572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JOSE BARBOSA</cp:lastModifiedBy>
  <cp:revision>3</cp:revision>
  <cp:lastPrinted>2021-06-10T14:45:00Z</cp:lastPrinted>
  <dcterms:created xsi:type="dcterms:W3CDTF">2021-06-10T14:45:00Z</dcterms:created>
  <dcterms:modified xsi:type="dcterms:W3CDTF">2021-06-10T14:45:00Z</dcterms:modified>
</cp:coreProperties>
</file>